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8051"/>
        </w:tabs>
        <w:jc w:val="center"/>
        <w:rPr>
          <w:sz w:val="30"/>
          <w:szCs w:val="30"/>
        </w:rPr>
      </w:pPr>
      <w:r w:rsidDel="00000000" w:rsidR="00000000" w:rsidRPr="00000000">
        <w:rPr>
          <w:b w:val="1"/>
          <w:sz w:val="30"/>
          <w:szCs w:val="30"/>
          <w:rtl w:val="0"/>
        </w:rPr>
        <w:t xml:space="preserve">LỊCH CÔNG TÁC</w:t>
      </w:r>
      <w:r w:rsidDel="00000000" w:rsidR="00000000" w:rsidRPr="00000000">
        <w:rPr>
          <w:rtl w:val="0"/>
        </w:rPr>
      </w:r>
    </w:p>
    <w:p w:rsidR="00000000" w:rsidDel="00000000" w:rsidP="00000000" w:rsidRDefault="00000000" w:rsidRPr="00000000" w14:paraId="00000002">
      <w:pPr>
        <w:tabs>
          <w:tab w:val="center" w:leader="none" w:pos="8051"/>
        </w:tabs>
        <w:jc w:val="center"/>
        <w:rPr>
          <w:sz w:val="30"/>
          <w:szCs w:val="30"/>
        </w:rPr>
      </w:pPr>
      <w:r w:rsidDel="00000000" w:rsidR="00000000" w:rsidRPr="00000000">
        <w:rPr>
          <w:b w:val="1"/>
          <w:sz w:val="30"/>
          <w:szCs w:val="30"/>
          <w:rtl w:val="0"/>
        </w:rPr>
        <w:t xml:space="preserve">(</w:t>
      </w:r>
      <w:r w:rsidDel="00000000" w:rsidR="00000000" w:rsidRPr="00000000">
        <w:rPr>
          <w:b w:val="1"/>
          <w:i w:val="1"/>
          <w:sz w:val="30"/>
          <w:szCs w:val="30"/>
          <w:rtl w:val="0"/>
        </w:rPr>
        <w:t xml:space="preserve">Tuần từ ngày 18 – 24/11/2024</w:t>
      </w:r>
      <w:r w:rsidDel="00000000" w:rsidR="00000000" w:rsidRPr="00000000">
        <w:rPr>
          <w:b w:val="1"/>
          <w:sz w:val="30"/>
          <w:szCs w:val="30"/>
          <w:rtl w:val="0"/>
        </w:rPr>
        <w:t xml:space="preserve">)</w:t>
      </w:r>
      <w:r w:rsidDel="00000000" w:rsidR="00000000" w:rsidRPr="00000000">
        <w:rPr>
          <w:rtl w:val="0"/>
        </w:rPr>
      </w:r>
    </w:p>
    <w:tbl>
      <w:tblPr>
        <w:tblStyle w:val="Table1"/>
        <w:tblW w:w="1481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7"/>
        <w:gridCol w:w="810"/>
        <w:gridCol w:w="1802"/>
        <w:gridCol w:w="4767"/>
        <w:gridCol w:w="4409"/>
        <w:gridCol w:w="1351"/>
        <w:gridCol w:w="868"/>
        <w:tblGridChange w:id="0">
          <w:tblGrid>
            <w:gridCol w:w="807"/>
            <w:gridCol w:w="810"/>
            <w:gridCol w:w="1802"/>
            <w:gridCol w:w="4767"/>
            <w:gridCol w:w="4409"/>
            <w:gridCol w:w="1351"/>
            <w:gridCol w:w="868"/>
          </w:tblGrid>
        </w:tblGridChange>
      </w:tblGrid>
      <w:tr>
        <w:trPr>
          <w:cantSplit w:val="0"/>
          <w:trHeight w:val="404" w:hRule="atLeast"/>
          <w:tblHeader w:val="0"/>
        </w:trPr>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sz w:val="25"/>
                <w:szCs w:val="25"/>
              </w:rPr>
            </w:pPr>
            <w:r w:rsidDel="00000000" w:rsidR="00000000" w:rsidRPr="00000000">
              <w:rPr>
                <w:b w:val="1"/>
                <w:sz w:val="25"/>
                <w:szCs w:val="25"/>
                <w:rtl w:val="0"/>
              </w:rPr>
              <w:t xml:space="preserve">Thứ</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jc w:val="center"/>
              <w:rPr>
                <w:sz w:val="25"/>
                <w:szCs w:val="25"/>
              </w:rPr>
            </w:pPr>
            <w:r w:rsidDel="00000000" w:rsidR="00000000" w:rsidRPr="00000000">
              <w:rPr>
                <w:b w:val="1"/>
                <w:sz w:val="25"/>
                <w:szCs w:val="25"/>
                <w:rtl w:val="0"/>
              </w:rPr>
              <w:t xml:space="preserve">Ngày</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sz w:val="25"/>
                <w:szCs w:val="25"/>
              </w:rPr>
            </w:pPr>
            <w:r w:rsidDel="00000000" w:rsidR="00000000" w:rsidRPr="00000000">
              <w:rPr>
                <w:b w:val="1"/>
                <w:sz w:val="25"/>
                <w:szCs w:val="25"/>
                <w:rtl w:val="0"/>
              </w:rPr>
              <w:t xml:space="preserve">Thời gian</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sz w:val="25"/>
                <w:szCs w:val="25"/>
              </w:rPr>
            </w:pPr>
            <w:r w:rsidDel="00000000" w:rsidR="00000000" w:rsidRPr="00000000">
              <w:rPr>
                <w:b w:val="1"/>
                <w:sz w:val="25"/>
                <w:szCs w:val="25"/>
                <w:rtl w:val="0"/>
              </w:rPr>
              <w:t xml:space="preserve">Nội dung cuộc họp</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7">
            <w:pPr>
              <w:jc w:val="center"/>
              <w:rPr>
                <w:sz w:val="25"/>
                <w:szCs w:val="25"/>
              </w:rPr>
            </w:pPr>
            <w:r w:rsidDel="00000000" w:rsidR="00000000" w:rsidRPr="00000000">
              <w:rPr>
                <w:b w:val="1"/>
                <w:sz w:val="25"/>
                <w:szCs w:val="25"/>
                <w:rtl w:val="0"/>
              </w:rPr>
              <w:t xml:space="preserve">Thành phần</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8">
            <w:pPr>
              <w:jc w:val="center"/>
              <w:rPr>
                <w:sz w:val="25"/>
                <w:szCs w:val="25"/>
              </w:rPr>
            </w:pPr>
            <w:r w:rsidDel="00000000" w:rsidR="00000000" w:rsidRPr="00000000">
              <w:rPr>
                <w:b w:val="1"/>
                <w:sz w:val="25"/>
                <w:szCs w:val="25"/>
                <w:rtl w:val="0"/>
              </w:rPr>
              <w:t xml:space="preserve">Chủ trì</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9">
            <w:pPr>
              <w:jc w:val="center"/>
              <w:rPr>
                <w:sz w:val="25"/>
                <w:szCs w:val="25"/>
              </w:rPr>
            </w:pPr>
            <w:r w:rsidDel="00000000" w:rsidR="00000000" w:rsidRPr="00000000">
              <w:rPr>
                <w:b w:val="1"/>
                <w:sz w:val="25"/>
                <w:szCs w:val="25"/>
                <w:rtl w:val="0"/>
              </w:rPr>
              <w:t xml:space="preserve">Địa điểm</w:t>
            </w:r>
            <w:r w:rsidDel="00000000" w:rsidR="00000000" w:rsidRPr="00000000">
              <w:rPr>
                <w:rtl w:val="0"/>
              </w:rPr>
            </w:r>
          </w:p>
        </w:tc>
      </w:tr>
      <w:tr>
        <w:trPr>
          <w:cantSplit w:val="0"/>
          <w:trHeight w:val="410" w:hRule="atLeast"/>
          <w:tblHeader w:val="0"/>
        </w:trPr>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0A">
            <w:pPr>
              <w:jc w:val="center"/>
              <w:rPr>
                <w:sz w:val="25"/>
                <w:szCs w:val="25"/>
              </w:rPr>
            </w:pPr>
            <w:r w:rsidDel="00000000" w:rsidR="00000000" w:rsidRPr="00000000">
              <w:rPr>
                <w:b w:val="1"/>
                <w:sz w:val="25"/>
                <w:szCs w:val="25"/>
                <w:rtl w:val="0"/>
              </w:rPr>
              <w:t xml:space="preserve">Hai</w:t>
            </w:r>
            <w:r w:rsidDel="00000000" w:rsidR="00000000" w:rsidRPr="00000000">
              <w:rPr>
                <w:rtl w:val="0"/>
              </w:rPr>
            </w:r>
          </w:p>
        </w:tc>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0B">
            <w:pPr>
              <w:jc w:val="center"/>
              <w:rPr>
                <w:b w:val="1"/>
                <w:i w:val="1"/>
                <w:sz w:val="25"/>
                <w:szCs w:val="25"/>
              </w:rPr>
            </w:pPr>
            <w:r w:rsidDel="00000000" w:rsidR="00000000" w:rsidRPr="00000000">
              <w:rPr>
                <w:b w:val="1"/>
                <w:i w:val="1"/>
                <w:sz w:val="25"/>
                <w:szCs w:val="25"/>
                <w:rtl w:val="0"/>
              </w:rPr>
              <w:t xml:space="preserve">18</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C">
            <w:pPr>
              <w:jc w:val="center"/>
              <w:rPr>
                <w:sz w:val="25"/>
                <w:szCs w:val="25"/>
              </w:rPr>
            </w:pPr>
            <w:r w:rsidDel="00000000" w:rsidR="00000000" w:rsidRPr="00000000">
              <w:rPr>
                <w:sz w:val="25"/>
                <w:szCs w:val="25"/>
                <w:rtl w:val="0"/>
              </w:rPr>
              <w:t xml:space="preserve">08g00 – 11g30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D">
            <w:pPr>
              <w:jc w:val="both"/>
              <w:rPr>
                <w:sz w:val="25"/>
                <w:szCs w:val="25"/>
              </w:rPr>
            </w:pPr>
            <w:r w:rsidDel="00000000" w:rsidR="00000000" w:rsidRPr="00000000">
              <w:rPr>
                <w:sz w:val="25"/>
                <w:szCs w:val="25"/>
                <w:rtl w:val="0"/>
              </w:rPr>
              <w:t xml:space="preserve">Tham dự buổi gặp mặt của Tổng Bí thư Tô Lâm với đại diện nhà giáo, CBQL giáo dục nhân ngày Nhà giáo Việt Nam 20/11</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E">
            <w:pPr>
              <w:jc w:val="both"/>
              <w:rPr>
                <w:sz w:val="25"/>
                <w:szCs w:val="25"/>
              </w:rPr>
            </w:pPr>
            <w:r w:rsidDel="00000000" w:rsidR="00000000" w:rsidRPr="00000000">
              <w:rPr>
                <w:sz w:val="25"/>
                <w:szCs w:val="25"/>
                <w:rtl w:val="0"/>
              </w:rPr>
              <w:t xml:space="preserve">NTToàn, PT.Huân, NP.Hòa</w:t>
            </w:r>
          </w:p>
        </w:tc>
        <w:tc>
          <w:tcPr>
            <w:shd w:fill="eeece1" w:val="clear"/>
            <w:vAlign w:val="center"/>
          </w:tcPr>
          <w:p w:rsidR="00000000" w:rsidDel="00000000" w:rsidP="00000000" w:rsidRDefault="00000000" w:rsidRPr="00000000" w14:paraId="0000000F">
            <w:pPr>
              <w:jc w:val="center"/>
              <w:rPr>
                <w:sz w:val="25"/>
                <w:szCs w:val="25"/>
              </w:rPr>
            </w:pPr>
            <w:r w:rsidDel="00000000" w:rsidR="00000000" w:rsidRPr="00000000">
              <w:rPr>
                <w:sz w:val="25"/>
                <w:szCs w:val="25"/>
                <w:rtl w:val="0"/>
              </w:rPr>
              <w:t xml:space="preserve">Bộ GD&amp;ĐT</w:t>
            </w:r>
          </w:p>
        </w:tc>
        <w:tc>
          <w:tcPr>
            <w:shd w:fill="eeece1" w:val="clear"/>
            <w:vAlign w:val="center"/>
          </w:tcPr>
          <w:p w:rsidR="00000000" w:rsidDel="00000000" w:rsidP="00000000" w:rsidRDefault="00000000" w:rsidRPr="00000000" w14:paraId="00000010">
            <w:pPr>
              <w:jc w:val="center"/>
              <w:rPr>
                <w:sz w:val="25"/>
                <w:szCs w:val="25"/>
              </w:rPr>
            </w:pPr>
            <w:r w:rsidDel="00000000" w:rsidR="00000000" w:rsidRPr="00000000">
              <w:rPr>
                <w:sz w:val="25"/>
                <w:szCs w:val="25"/>
                <w:rtl w:val="0"/>
              </w:rPr>
              <w:t xml:space="preserve">TT.Hội nghị QG (Hà Nội)</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13">
            <w:pPr>
              <w:jc w:val="center"/>
              <w:rPr>
                <w:sz w:val="25"/>
                <w:szCs w:val="25"/>
              </w:rPr>
            </w:pPr>
            <w:r w:rsidDel="00000000" w:rsidR="00000000" w:rsidRPr="00000000">
              <w:rPr>
                <w:sz w:val="25"/>
                <w:szCs w:val="25"/>
                <w:rtl w:val="0"/>
              </w:rPr>
              <w:t xml:space="preserve">09g00 – 09g30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4">
            <w:pPr>
              <w:jc w:val="both"/>
              <w:rPr>
                <w:sz w:val="25"/>
                <w:szCs w:val="25"/>
              </w:rPr>
            </w:pPr>
            <w:r w:rsidDel="00000000" w:rsidR="00000000" w:rsidRPr="00000000">
              <w:rPr>
                <w:sz w:val="25"/>
                <w:szCs w:val="25"/>
                <w:rtl w:val="0"/>
              </w:rPr>
              <w:t xml:space="preserve">Ban Biên tập báo Thanh niên đến thăm Trường nhân ngày Nhà giáo Việt Nam 20/11</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5">
            <w:pPr>
              <w:jc w:val="both"/>
              <w:rPr>
                <w:sz w:val="25"/>
                <w:szCs w:val="25"/>
              </w:rPr>
            </w:pPr>
            <w:r w:rsidDel="00000000" w:rsidR="00000000" w:rsidRPr="00000000">
              <w:rPr>
                <w:sz w:val="25"/>
                <w:szCs w:val="25"/>
                <w:rtl w:val="0"/>
              </w:rPr>
              <w:t xml:space="preserve">Ban Giám hiệu, Các phòng CTSV, TTTT, ĐT, HC</w:t>
            </w:r>
          </w:p>
        </w:tc>
        <w:tc>
          <w:tcPr>
            <w:shd w:fill="eeece1" w:val="clear"/>
            <w:vAlign w:val="center"/>
          </w:tcPr>
          <w:p w:rsidR="00000000" w:rsidDel="00000000" w:rsidP="00000000" w:rsidRDefault="00000000" w:rsidRPr="00000000" w14:paraId="00000016">
            <w:pPr>
              <w:jc w:val="center"/>
              <w:rPr>
                <w:sz w:val="25"/>
                <w:szCs w:val="25"/>
              </w:rPr>
            </w:pPr>
            <w:r w:rsidDel="00000000" w:rsidR="00000000" w:rsidRPr="00000000">
              <w:rPr>
                <w:sz w:val="25"/>
                <w:szCs w:val="25"/>
                <w:rtl w:val="0"/>
              </w:rPr>
              <w:t xml:space="preserve">TĐLý</w:t>
            </w:r>
          </w:p>
        </w:tc>
        <w:tc>
          <w:tcPr>
            <w:shd w:fill="eeece1" w:val="clear"/>
            <w:vAlign w:val="center"/>
          </w:tcPr>
          <w:p w:rsidR="00000000" w:rsidDel="00000000" w:rsidP="00000000" w:rsidRDefault="00000000" w:rsidRPr="00000000" w14:paraId="00000017">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1A">
            <w:pPr>
              <w:jc w:val="center"/>
              <w:rPr>
                <w:sz w:val="25"/>
                <w:szCs w:val="25"/>
              </w:rPr>
            </w:pPr>
            <w:r w:rsidDel="00000000" w:rsidR="00000000" w:rsidRPr="00000000">
              <w:rPr>
                <w:sz w:val="25"/>
                <w:szCs w:val="25"/>
                <w:rtl w:val="0"/>
              </w:rPr>
              <w:t xml:space="preserve">14g00 – 16g00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B">
            <w:pPr>
              <w:jc w:val="both"/>
              <w:rPr>
                <w:sz w:val="25"/>
                <w:szCs w:val="25"/>
              </w:rPr>
            </w:pPr>
            <w:r w:rsidDel="00000000" w:rsidR="00000000" w:rsidRPr="00000000">
              <w:rPr>
                <w:sz w:val="25"/>
                <w:szCs w:val="25"/>
                <w:rtl w:val="0"/>
              </w:rPr>
              <w:t xml:space="preserve">Rà soát công tác chuẩn bị làm việc với Đoàn Kiểm tra của Bộ GD&amp;ĐT v/v thực hiện Quy chế dân chủ cơ sở </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C">
            <w:pPr>
              <w:jc w:val="both"/>
              <w:rPr>
                <w:sz w:val="25"/>
                <w:szCs w:val="25"/>
              </w:rPr>
            </w:pPr>
            <w:r w:rsidDel="00000000" w:rsidR="00000000" w:rsidRPr="00000000">
              <w:rPr>
                <w:sz w:val="25"/>
                <w:szCs w:val="25"/>
                <w:rtl w:val="0"/>
              </w:rPr>
              <w:t xml:space="preserve">TĐLý, HTMHương, NTMai, NTThể, NVMinh, NC.Hậu, TTPhong, LMTriết, TTTHuyền</w:t>
            </w:r>
          </w:p>
        </w:tc>
        <w:tc>
          <w:tcPr>
            <w:shd w:fill="eeece1" w:val="clear"/>
            <w:vAlign w:val="center"/>
          </w:tcPr>
          <w:p w:rsidR="00000000" w:rsidDel="00000000" w:rsidP="00000000" w:rsidRDefault="00000000" w:rsidRPr="00000000" w14:paraId="0000001D">
            <w:pPr>
              <w:jc w:val="center"/>
              <w:rPr>
                <w:sz w:val="25"/>
                <w:szCs w:val="25"/>
              </w:rPr>
            </w:pPr>
            <w:r w:rsidDel="00000000" w:rsidR="00000000" w:rsidRPr="00000000">
              <w:rPr>
                <w:sz w:val="25"/>
                <w:szCs w:val="25"/>
                <w:rtl w:val="0"/>
              </w:rPr>
              <w:t xml:space="preserve">TĐLý</w:t>
            </w:r>
          </w:p>
        </w:tc>
        <w:tc>
          <w:tcPr>
            <w:shd w:fill="eeece1" w:val="clear"/>
            <w:vAlign w:val="center"/>
          </w:tcPr>
          <w:p w:rsidR="00000000" w:rsidDel="00000000" w:rsidP="00000000" w:rsidRDefault="00000000" w:rsidRPr="00000000" w14:paraId="0000001E">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1F">
            <w:pPr>
              <w:jc w:val="center"/>
              <w:rPr>
                <w:b w:val="1"/>
                <w:sz w:val="25"/>
                <w:szCs w:val="25"/>
              </w:rPr>
            </w:pPr>
            <w:r w:rsidDel="00000000" w:rsidR="00000000" w:rsidRPr="00000000">
              <w:rPr>
                <w:b w:val="1"/>
                <w:sz w:val="25"/>
                <w:szCs w:val="25"/>
                <w:rtl w:val="0"/>
              </w:rPr>
              <w:t xml:space="preserve">Ba</w:t>
            </w:r>
          </w:p>
        </w:tc>
        <w:tc>
          <w:tcPr>
            <w:shd w:fill="auto" w:val="clear"/>
            <w:tcMar>
              <w:top w:w="0.0" w:type="dxa"/>
              <w:left w:w="108.0" w:type="dxa"/>
              <w:bottom w:w="0.0" w:type="dxa"/>
              <w:right w:w="108.0" w:type="dxa"/>
            </w:tcMar>
            <w:vAlign w:val="center"/>
          </w:tcPr>
          <w:p w:rsidR="00000000" w:rsidDel="00000000" w:rsidP="00000000" w:rsidRDefault="00000000" w:rsidRPr="00000000" w14:paraId="00000020">
            <w:pPr>
              <w:jc w:val="center"/>
              <w:rPr>
                <w:b w:val="1"/>
                <w:i w:val="1"/>
                <w:sz w:val="25"/>
                <w:szCs w:val="25"/>
              </w:rPr>
            </w:pPr>
            <w:r w:rsidDel="00000000" w:rsidR="00000000" w:rsidRPr="00000000">
              <w:rPr>
                <w:b w:val="1"/>
                <w:i w:val="1"/>
                <w:sz w:val="25"/>
                <w:szCs w:val="25"/>
                <w:rtl w:val="0"/>
              </w:rPr>
              <w:t xml:space="preserve">19</w:t>
            </w:r>
          </w:p>
        </w:tc>
        <w:tc>
          <w:tcPr>
            <w:shd w:fill="auto" w:val="clear"/>
            <w:tcMar>
              <w:top w:w="0.0" w:type="dxa"/>
              <w:left w:w="108.0" w:type="dxa"/>
              <w:bottom w:w="0.0" w:type="dxa"/>
              <w:right w:w="108.0" w:type="dxa"/>
            </w:tcMar>
            <w:vAlign w:val="center"/>
          </w:tcPr>
          <w:p w:rsidR="00000000" w:rsidDel="00000000" w:rsidP="00000000" w:rsidRDefault="00000000" w:rsidRPr="00000000" w14:paraId="00000021">
            <w:pPr>
              <w:jc w:val="center"/>
              <w:rPr>
                <w:sz w:val="25"/>
                <w:szCs w:val="25"/>
              </w:rPr>
            </w:pPr>
            <w:r w:rsidDel="00000000" w:rsidR="00000000" w:rsidRPr="00000000">
              <w:rPr>
                <w:sz w:val="25"/>
                <w:szCs w:val="25"/>
                <w:rtl w:val="0"/>
              </w:rPr>
              <w:t xml:space="preserve">08g30 – 10g00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22">
            <w:pPr>
              <w:jc w:val="both"/>
              <w:rPr>
                <w:sz w:val="25"/>
                <w:szCs w:val="25"/>
              </w:rPr>
            </w:pPr>
            <w:r w:rsidDel="00000000" w:rsidR="00000000" w:rsidRPr="00000000">
              <w:rPr>
                <w:sz w:val="25"/>
                <w:szCs w:val="25"/>
                <w:rtl w:val="0"/>
              </w:rPr>
              <w:t xml:space="preserve">Lễ kỷ niệm 42 năm ngày Nhà giáo Việt Nam 20/11/1982 - 20/11/2024 và 69 năm ngày thành lập Trường 19/11/1955 - 19/11/2024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23">
            <w:pPr>
              <w:jc w:val="both"/>
              <w:rPr>
                <w:i w:val="1"/>
                <w:sz w:val="25"/>
                <w:szCs w:val="25"/>
              </w:rPr>
            </w:pPr>
            <w:r w:rsidDel="00000000" w:rsidR="00000000" w:rsidRPr="00000000">
              <w:rPr>
                <w:sz w:val="25"/>
                <w:szCs w:val="25"/>
                <w:rtl w:val="0"/>
              </w:rPr>
              <w:t xml:space="preserve">Đảng ủy, Ban Giám hiệu, Hội đồng trường, Nguyên lãnh đạo trường, Ban Chấp hành Công đoàn trường, Ban Chấp hành Hội Cựu chiến binh, Đoàn Thanh niên, Hội sinh viên trường, Trưởng, Phó các đơn vị, Toàn thể giảng viên, viên chức, người lao động, sinh viên, Thư mời</w:t>
            </w:r>
            <w:r w:rsidDel="00000000" w:rsidR="00000000" w:rsidRPr="00000000">
              <w:rPr>
                <w:rtl w:val="0"/>
              </w:rPr>
            </w:r>
          </w:p>
        </w:tc>
        <w:tc>
          <w:tcPr>
            <w:shd w:fill="auto" w:val="clear"/>
            <w:vAlign w:val="center"/>
          </w:tcPr>
          <w:p w:rsidR="00000000" w:rsidDel="00000000" w:rsidP="00000000" w:rsidRDefault="00000000" w:rsidRPr="00000000" w14:paraId="00000024">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25">
            <w:pPr>
              <w:jc w:val="center"/>
              <w:rPr>
                <w:sz w:val="25"/>
                <w:szCs w:val="25"/>
              </w:rPr>
            </w:pPr>
            <w:r w:rsidDel="00000000" w:rsidR="00000000" w:rsidRPr="00000000">
              <w:rPr>
                <w:sz w:val="25"/>
                <w:szCs w:val="25"/>
                <w:rtl w:val="0"/>
              </w:rPr>
              <w:t xml:space="preserve">Hội trường Phượng Vỹ</w:t>
            </w:r>
          </w:p>
        </w:tc>
      </w:tr>
      <w:tr>
        <w:trPr>
          <w:cantSplit w:val="0"/>
          <w:trHeight w:val="410" w:hRule="atLeast"/>
          <w:tblHeader w:val="0"/>
        </w:trPr>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26">
            <w:pPr>
              <w:jc w:val="center"/>
              <w:rPr>
                <w:b w:val="1"/>
                <w:sz w:val="25"/>
                <w:szCs w:val="25"/>
              </w:rPr>
            </w:pPr>
            <w:r w:rsidDel="00000000" w:rsidR="00000000" w:rsidRPr="00000000">
              <w:rPr>
                <w:b w:val="1"/>
                <w:sz w:val="25"/>
                <w:szCs w:val="25"/>
                <w:rtl w:val="0"/>
              </w:rPr>
              <w:t xml:space="preserve">Tư</w:t>
            </w:r>
          </w:p>
        </w:tc>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27">
            <w:pPr>
              <w:jc w:val="center"/>
              <w:rPr>
                <w:b w:val="1"/>
                <w:i w:val="1"/>
                <w:sz w:val="25"/>
                <w:szCs w:val="25"/>
              </w:rPr>
            </w:pPr>
            <w:r w:rsidDel="00000000" w:rsidR="00000000" w:rsidRPr="00000000">
              <w:rPr>
                <w:b w:val="1"/>
                <w:i w:val="1"/>
                <w:sz w:val="25"/>
                <w:szCs w:val="25"/>
                <w:rtl w:val="0"/>
              </w:rPr>
              <w:t xml:space="preserve">20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28">
            <w:pPr>
              <w:jc w:val="center"/>
              <w:rPr>
                <w:sz w:val="25"/>
                <w:szCs w:val="25"/>
              </w:rPr>
            </w:pPr>
            <w:r w:rsidDel="00000000" w:rsidR="00000000" w:rsidRPr="00000000">
              <w:rPr>
                <w:sz w:val="25"/>
                <w:szCs w:val="25"/>
                <w:rtl w:val="0"/>
              </w:rPr>
              <w:t xml:space="preserve">08g00 – 09g00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29">
            <w:pPr>
              <w:jc w:val="both"/>
              <w:rPr>
                <w:sz w:val="25"/>
                <w:szCs w:val="25"/>
              </w:rPr>
            </w:pPr>
            <w:r w:rsidDel="00000000" w:rsidR="00000000" w:rsidRPr="00000000">
              <w:rPr>
                <w:sz w:val="25"/>
                <w:szCs w:val="25"/>
                <w:rtl w:val="0"/>
              </w:rPr>
              <w:t xml:space="preserve">Họp Hội đồng tuyển sinh sau đại học đợt 2 năm 2024</w:t>
            </w:r>
          </w:p>
        </w:tc>
        <w:tc>
          <w:tcPr>
            <w:shd w:fill="eeece1" w:val="clear"/>
            <w:tcMar>
              <w:top w:w="0.0" w:type="dxa"/>
              <w:left w:w="108.0" w:type="dxa"/>
              <w:bottom w:w="0.0" w:type="dxa"/>
              <w:right w:w="108.0" w:type="dxa"/>
            </w:tcMar>
            <w:vAlign w:val="center"/>
          </w:tcPr>
          <w:p w:rsidR="00000000" w:rsidDel="00000000" w:rsidP="00000000" w:rsidRDefault="00000000" w:rsidRPr="00000000" w14:paraId="0000002A">
            <w:pPr>
              <w:jc w:val="both"/>
              <w:rPr>
                <w:sz w:val="25"/>
                <w:szCs w:val="25"/>
              </w:rPr>
            </w:pPr>
            <w:r w:rsidDel="00000000" w:rsidR="00000000" w:rsidRPr="00000000">
              <w:rPr>
                <w:sz w:val="25"/>
                <w:szCs w:val="25"/>
                <w:rtl w:val="0"/>
              </w:rPr>
              <w:t xml:space="preserve">Hội đồng tuyển sinh sau đại học, Phòng ĐTSĐH</w:t>
            </w:r>
          </w:p>
        </w:tc>
        <w:tc>
          <w:tcPr>
            <w:shd w:fill="eeece1" w:val="clear"/>
            <w:vAlign w:val="center"/>
          </w:tcPr>
          <w:p w:rsidR="00000000" w:rsidDel="00000000" w:rsidP="00000000" w:rsidRDefault="00000000" w:rsidRPr="00000000" w14:paraId="0000002B">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2C">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2F">
            <w:pPr>
              <w:jc w:val="center"/>
              <w:rPr>
                <w:sz w:val="25"/>
                <w:szCs w:val="25"/>
              </w:rPr>
            </w:pPr>
            <w:r w:rsidDel="00000000" w:rsidR="00000000" w:rsidRPr="00000000">
              <w:rPr>
                <w:sz w:val="25"/>
                <w:szCs w:val="25"/>
                <w:rtl w:val="0"/>
              </w:rPr>
              <w:t xml:space="preserve">09g00 – 0930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0">
            <w:pPr>
              <w:jc w:val="both"/>
              <w:rPr>
                <w:sz w:val="25"/>
                <w:szCs w:val="25"/>
              </w:rPr>
            </w:pPr>
            <w:r w:rsidDel="00000000" w:rsidR="00000000" w:rsidRPr="00000000">
              <w:rPr>
                <w:sz w:val="25"/>
                <w:szCs w:val="25"/>
                <w:rtl w:val="0"/>
              </w:rPr>
              <w:t xml:space="preserve">Họp Ban đề thi tuyển sinh sau đại học đợt 2 năm 2024</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1">
            <w:pPr>
              <w:jc w:val="both"/>
              <w:rPr>
                <w:sz w:val="25"/>
                <w:szCs w:val="25"/>
              </w:rPr>
            </w:pPr>
            <w:r w:rsidDel="00000000" w:rsidR="00000000" w:rsidRPr="00000000">
              <w:rPr>
                <w:sz w:val="25"/>
                <w:szCs w:val="25"/>
                <w:rtl w:val="0"/>
              </w:rPr>
              <w:t xml:space="preserve">Ban đề thi tuyển sinh sau đại học đợt 2, Phòng ĐTSĐH</w:t>
            </w:r>
          </w:p>
        </w:tc>
        <w:tc>
          <w:tcPr>
            <w:shd w:fill="eeece1" w:val="clear"/>
            <w:vAlign w:val="center"/>
          </w:tcPr>
          <w:p w:rsidR="00000000" w:rsidDel="00000000" w:rsidP="00000000" w:rsidRDefault="00000000" w:rsidRPr="00000000" w14:paraId="00000032">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33">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36">
            <w:pPr>
              <w:jc w:val="center"/>
              <w:rPr>
                <w:sz w:val="25"/>
                <w:szCs w:val="25"/>
              </w:rPr>
            </w:pPr>
            <w:r w:rsidDel="00000000" w:rsidR="00000000" w:rsidRPr="00000000">
              <w:rPr>
                <w:sz w:val="25"/>
                <w:szCs w:val="25"/>
                <w:rtl w:val="0"/>
              </w:rPr>
              <w:t xml:space="preserve">08g30 – 11g30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7">
            <w:pPr>
              <w:jc w:val="both"/>
              <w:rPr>
                <w:sz w:val="25"/>
                <w:szCs w:val="25"/>
              </w:rPr>
            </w:pPr>
            <w:r w:rsidDel="00000000" w:rsidR="00000000" w:rsidRPr="00000000">
              <w:rPr>
                <w:sz w:val="25"/>
                <w:szCs w:val="25"/>
                <w:rtl w:val="0"/>
              </w:rPr>
              <w:t xml:space="preserve">Họp về kế hoạch chuỗi hoạt động học thuật năm 2025</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8">
            <w:pPr>
              <w:jc w:val="both"/>
              <w:rPr>
                <w:sz w:val="25"/>
                <w:szCs w:val="25"/>
              </w:rPr>
            </w:pPr>
            <w:r w:rsidDel="00000000" w:rsidR="00000000" w:rsidRPr="00000000">
              <w:rPr>
                <w:sz w:val="25"/>
                <w:szCs w:val="25"/>
                <w:rtl w:val="0"/>
              </w:rPr>
              <w:t xml:space="preserve">PT.Huân, Phòng QLNCKH, Đoàn TN, Trung tâm ƯTDNCN</w:t>
            </w:r>
          </w:p>
        </w:tc>
        <w:tc>
          <w:tcPr>
            <w:shd w:fill="eeece1" w:val="clear"/>
            <w:vAlign w:val="center"/>
          </w:tcPr>
          <w:p w:rsidR="00000000" w:rsidDel="00000000" w:rsidP="00000000" w:rsidRDefault="00000000" w:rsidRPr="00000000" w14:paraId="00000039">
            <w:pPr>
              <w:jc w:val="center"/>
              <w:rPr>
                <w:sz w:val="25"/>
                <w:szCs w:val="25"/>
              </w:rPr>
            </w:pPr>
            <w:r w:rsidDel="00000000" w:rsidR="00000000" w:rsidRPr="00000000">
              <w:rPr>
                <w:sz w:val="25"/>
                <w:szCs w:val="25"/>
                <w:rtl w:val="0"/>
              </w:rPr>
              <w:t xml:space="preserve">PT.Huân</w:t>
            </w:r>
          </w:p>
        </w:tc>
        <w:tc>
          <w:tcPr>
            <w:shd w:fill="eeece1" w:val="clear"/>
            <w:vAlign w:val="center"/>
          </w:tcPr>
          <w:p w:rsidR="00000000" w:rsidDel="00000000" w:rsidP="00000000" w:rsidRDefault="00000000" w:rsidRPr="00000000" w14:paraId="0000003A">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3D">
            <w:pPr>
              <w:jc w:val="center"/>
              <w:rPr>
                <w:sz w:val="25"/>
                <w:szCs w:val="25"/>
              </w:rPr>
            </w:pPr>
            <w:r w:rsidDel="00000000" w:rsidR="00000000" w:rsidRPr="00000000">
              <w:rPr>
                <w:sz w:val="25"/>
                <w:szCs w:val="25"/>
                <w:rtl w:val="0"/>
              </w:rPr>
              <w:t xml:space="preserve">11g00 – 15g30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E">
            <w:pPr>
              <w:jc w:val="both"/>
              <w:rPr>
                <w:sz w:val="25"/>
                <w:szCs w:val="25"/>
              </w:rPr>
            </w:pPr>
            <w:r w:rsidDel="00000000" w:rsidR="00000000" w:rsidRPr="00000000">
              <w:rPr>
                <w:sz w:val="25"/>
                <w:szCs w:val="25"/>
                <w:rtl w:val="0"/>
              </w:rPr>
              <w:t xml:space="preserve">Tham gia Hội diễn văn nghệ Liên đoàn lao động TP.HCM</w:t>
            </w:r>
          </w:p>
        </w:tc>
        <w:tc>
          <w:tcPr>
            <w:shd w:fill="eeece1" w:val="clear"/>
            <w:tcMar>
              <w:top w:w="0.0" w:type="dxa"/>
              <w:left w:w="108.0" w:type="dxa"/>
              <w:bottom w:w="0.0" w:type="dxa"/>
              <w:right w:w="108.0" w:type="dxa"/>
            </w:tcMar>
            <w:vAlign w:val="center"/>
          </w:tcPr>
          <w:p w:rsidR="00000000" w:rsidDel="00000000" w:rsidP="00000000" w:rsidRDefault="00000000" w:rsidRPr="00000000" w14:paraId="0000003F">
            <w:pPr>
              <w:jc w:val="both"/>
              <w:rPr>
                <w:sz w:val="25"/>
                <w:szCs w:val="25"/>
              </w:rPr>
            </w:pPr>
            <w:r w:rsidDel="00000000" w:rsidR="00000000" w:rsidRPr="00000000">
              <w:rPr>
                <w:sz w:val="25"/>
                <w:szCs w:val="25"/>
                <w:rtl w:val="0"/>
              </w:rPr>
              <w:t xml:space="preserve">Ban Chấp hành Công đoàn trường, Đoàn tham gia Hội diễn văn nghệ</w:t>
            </w:r>
          </w:p>
        </w:tc>
        <w:tc>
          <w:tcPr>
            <w:shd w:fill="eeece1" w:val="clear"/>
            <w:vAlign w:val="center"/>
          </w:tcPr>
          <w:p w:rsidR="00000000" w:rsidDel="00000000" w:rsidP="00000000" w:rsidRDefault="00000000" w:rsidRPr="00000000" w14:paraId="00000040">
            <w:pPr>
              <w:jc w:val="center"/>
              <w:rPr>
                <w:sz w:val="25"/>
                <w:szCs w:val="25"/>
              </w:rPr>
            </w:pPr>
            <w:r w:rsidDel="00000000" w:rsidR="00000000" w:rsidRPr="00000000">
              <w:rPr>
                <w:sz w:val="25"/>
                <w:szCs w:val="25"/>
                <w:rtl w:val="0"/>
              </w:rPr>
              <w:t xml:space="preserve">HTMHương</w:t>
            </w:r>
          </w:p>
        </w:tc>
        <w:tc>
          <w:tcPr>
            <w:shd w:fill="eeece1" w:val="clear"/>
            <w:vAlign w:val="center"/>
          </w:tcPr>
          <w:p w:rsidR="00000000" w:rsidDel="00000000" w:rsidP="00000000" w:rsidRDefault="00000000" w:rsidRPr="00000000" w14:paraId="00000041">
            <w:pPr>
              <w:jc w:val="center"/>
              <w:rPr>
                <w:sz w:val="25"/>
                <w:szCs w:val="25"/>
              </w:rPr>
            </w:pPr>
            <w:r w:rsidDel="00000000" w:rsidR="00000000" w:rsidRPr="00000000">
              <w:rPr>
                <w:sz w:val="25"/>
                <w:szCs w:val="25"/>
                <w:rtl w:val="0"/>
              </w:rPr>
              <w:t xml:space="preserve">NVH Thanh niên (Q1)</w:t>
            </w:r>
          </w:p>
        </w:tc>
      </w:tr>
      <w:tr>
        <w:trPr>
          <w:cantSplit w:val="0"/>
          <w:trHeight w:val="410" w:hRule="atLeast"/>
          <w:tblHeader w:val="0"/>
        </w:trPr>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42">
            <w:pPr>
              <w:jc w:val="center"/>
              <w:rPr>
                <w:b w:val="1"/>
                <w:sz w:val="25"/>
                <w:szCs w:val="25"/>
              </w:rPr>
            </w:pPr>
            <w:r w:rsidDel="00000000" w:rsidR="00000000" w:rsidRPr="00000000">
              <w:rPr>
                <w:b w:val="1"/>
                <w:sz w:val="25"/>
                <w:szCs w:val="25"/>
                <w:rtl w:val="0"/>
              </w:rPr>
              <w:t xml:space="preserve">Năm</w:t>
            </w:r>
          </w:p>
        </w:tc>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43">
            <w:pPr>
              <w:jc w:val="center"/>
              <w:rPr>
                <w:b w:val="1"/>
                <w:i w:val="1"/>
                <w:sz w:val="25"/>
                <w:szCs w:val="25"/>
              </w:rPr>
            </w:pPr>
            <w:r w:rsidDel="00000000" w:rsidR="00000000" w:rsidRPr="00000000">
              <w:rPr>
                <w:b w:val="1"/>
                <w:i w:val="1"/>
                <w:sz w:val="25"/>
                <w:szCs w:val="25"/>
                <w:rtl w:val="0"/>
              </w:rPr>
              <w:t xml:space="preserve">21</w:t>
            </w:r>
          </w:p>
        </w:tc>
        <w:tc>
          <w:tcPr>
            <w:shd w:fill="auto" w:val="clear"/>
            <w:tcMar>
              <w:top w:w="0.0" w:type="dxa"/>
              <w:left w:w="108.0" w:type="dxa"/>
              <w:bottom w:w="0.0" w:type="dxa"/>
              <w:right w:w="108.0" w:type="dxa"/>
            </w:tcMar>
            <w:vAlign w:val="center"/>
          </w:tcPr>
          <w:p w:rsidR="00000000" w:rsidDel="00000000" w:rsidP="00000000" w:rsidRDefault="00000000" w:rsidRPr="00000000" w14:paraId="00000044">
            <w:pPr>
              <w:jc w:val="center"/>
              <w:rPr>
                <w:sz w:val="25"/>
                <w:szCs w:val="25"/>
              </w:rPr>
            </w:pPr>
            <w:r w:rsidDel="00000000" w:rsidR="00000000" w:rsidRPr="00000000">
              <w:rPr>
                <w:sz w:val="25"/>
                <w:szCs w:val="25"/>
                <w:rtl w:val="0"/>
              </w:rPr>
              <w:t xml:space="preserve">08g00 – 17g00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45">
            <w:pPr>
              <w:jc w:val="both"/>
              <w:rPr>
                <w:sz w:val="25"/>
                <w:szCs w:val="25"/>
              </w:rPr>
            </w:pPr>
            <w:r w:rsidDel="00000000" w:rsidR="00000000" w:rsidRPr="00000000">
              <w:rPr>
                <w:sz w:val="25"/>
                <w:szCs w:val="25"/>
                <w:rtl w:val="0"/>
              </w:rPr>
              <w:t xml:space="preserve">Hội thảo “Tổng kết dự án an toàn sinh học trong ngành Chăn nuôi heo (Dự án BIG)”</w:t>
            </w:r>
          </w:p>
        </w:tc>
        <w:tc>
          <w:tcPr>
            <w:shd w:fill="auto" w:val="clear"/>
            <w:tcMar>
              <w:top w:w="0.0" w:type="dxa"/>
              <w:left w:w="108.0" w:type="dxa"/>
              <w:bottom w:w="0.0" w:type="dxa"/>
              <w:right w:w="108.0" w:type="dxa"/>
            </w:tcMar>
            <w:vAlign w:val="center"/>
          </w:tcPr>
          <w:p w:rsidR="00000000" w:rsidDel="00000000" w:rsidP="00000000" w:rsidRDefault="00000000" w:rsidRPr="00000000" w14:paraId="00000046">
            <w:pPr>
              <w:jc w:val="both"/>
              <w:rPr>
                <w:sz w:val="25"/>
                <w:szCs w:val="25"/>
              </w:rPr>
            </w:pPr>
            <w:r w:rsidDel="00000000" w:rsidR="00000000" w:rsidRPr="00000000">
              <w:rPr>
                <w:sz w:val="25"/>
                <w:szCs w:val="25"/>
                <w:rtl w:val="0"/>
              </w:rPr>
              <w:t xml:space="preserve">NTToàn, NP.Hòa, NNThùy, LQThông, LT.Hiền, NKCường, ĐTDuy, TĐBảo, NTPTrang, GV Khoa CNTY; Cục Thú y - Bộ NN&amp;PTNT; Trung tâm HTQT về Nghiên cứu Nông nghiệp vì sự phát triển (CIRAD); Đại biểu quốc tế; Đại biểu trong nước, Thư mời</w:t>
            </w:r>
          </w:p>
        </w:tc>
        <w:tc>
          <w:tcPr>
            <w:shd w:fill="auto" w:val="clear"/>
            <w:vAlign w:val="center"/>
          </w:tcPr>
          <w:p w:rsidR="00000000" w:rsidDel="00000000" w:rsidP="00000000" w:rsidRDefault="00000000" w:rsidRPr="00000000" w14:paraId="00000047">
            <w:pPr>
              <w:jc w:val="center"/>
              <w:rPr>
                <w:sz w:val="25"/>
                <w:szCs w:val="25"/>
              </w:rPr>
            </w:pPr>
            <w:r w:rsidDel="00000000" w:rsidR="00000000" w:rsidRPr="00000000">
              <w:rPr>
                <w:sz w:val="25"/>
                <w:szCs w:val="25"/>
                <w:rtl w:val="0"/>
              </w:rPr>
              <w:t xml:space="preserve">Trường ĐH Nông Lâm TP.HCM - Cục Thú y - CIRAD</w:t>
            </w:r>
          </w:p>
        </w:tc>
        <w:tc>
          <w:tcPr>
            <w:shd w:fill="auto" w:val="clear"/>
            <w:vAlign w:val="center"/>
          </w:tcPr>
          <w:p w:rsidR="00000000" w:rsidDel="00000000" w:rsidP="00000000" w:rsidRDefault="00000000" w:rsidRPr="00000000" w14:paraId="00000048">
            <w:pPr>
              <w:jc w:val="center"/>
              <w:rPr>
                <w:sz w:val="25"/>
                <w:szCs w:val="25"/>
              </w:rPr>
            </w:pPr>
            <w:r w:rsidDel="00000000" w:rsidR="00000000" w:rsidRPr="00000000">
              <w:rPr>
                <w:sz w:val="25"/>
                <w:szCs w:val="25"/>
                <w:rtl w:val="0"/>
              </w:rPr>
              <w:t xml:space="preserve">Trực tuyến tại P303</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B">
            <w:pPr>
              <w:jc w:val="center"/>
              <w:rPr>
                <w:sz w:val="25"/>
                <w:szCs w:val="25"/>
              </w:rPr>
            </w:pPr>
            <w:r w:rsidDel="00000000" w:rsidR="00000000" w:rsidRPr="00000000">
              <w:rPr>
                <w:sz w:val="25"/>
                <w:szCs w:val="25"/>
                <w:rtl w:val="0"/>
              </w:rPr>
              <w:t xml:space="preserve">08g00 – 09g00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4C">
            <w:pPr>
              <w:jc w:val="both"/>
              <w:rPr>
                <w:sz w:val="25"/>
                <w:szCs w:val="25"/>
              </w:rPr>
            </w:pPr>
            <w:r w:rsidDel="00000000" w:rsidR="00000000" w:rsidRPr="00000000">
              <w:rPr>
                <w:sz w:val="25"/>
                <w:szCs w:val="25"/>
                <w:rtl w:val="0"/>
              </w:rPr>
              <w:t xml:space="preserve">Lễ Khai giảng lớp Bồi dưỡng kiến thức quốc phòng và an ninh cho đối tượng 4 năm 2024;</w:t>
            </w:r>
          </w:p>
          <w:p w:rsidR="00000000" w:rsidDel="00000000" w:rsidP="00000000" w:rsidRDefault="00000000" w:rsidRPr="00000000" w14:paraId="0000004D">
            <w:pPr>
              <w:jc w:val="both"/>
              <w:rPr>
                <w:i w:val="1"/>
                <w:sz w:val="25"/>
                <w:szCs w:val="25"/>
              </w:rPr>
            </w:pPr>
            <w:r w:rsidDel="00000000" w:rsidR="00000000" w:rsidRPr="00000000">
              <w:rPr>
                <w:sz w:val="25"/>
                <w:szCs w:val="25"/>
                <w:rtl w:val="0"/>
              </w:rPr>
              <w:t xml:space="preserve">- Lịch học lớp 01 </w:t>
            </w:r>
            <w:r w:rsidDel="00000000" w:rsidR="00000000" w:rsidRPr="00000000">
              <w:rPr>
                <w:i w:val="1"/>
                <w:sz w:val="25"/>
                <w:szCs w:val="25"/>
                <w:rtl w:val="0"/>
              </w:rPr>
              <w:t xml:space="preserve">(ngày 21 và 23/11/2024)</w:t>
            </w:r>
          </w:p>
          <w:p w:rsidR="00000000" w:rsidDel="00000000" w:rsidP="00000000" w:rsidRDefault="00000000" w:rsidRPr="00000000" w14:paraId="0000004E">
            <w:pPr>
              <w:jc w:val="both"/>
              <w:rPr>
                <w:sz w:val="25"/>
                <w:szCs w:val="25"/>
              </w:rPr>
            </w:pPr>
            <w:r w:rsidDel="00000000" w:rsidR="00000000" w:rsidRPr="00000000">
              <w:rPr>
                <w:sz w:val="25"/>
                <w:szCs w:val="25"/>
                <w:rtl w:val="0"/>
              </w:rPr>
              <w:t xml:space="preserve">- Lịch học lớp 02 </w:t>
            </w:r>
            <w:r w:rsidDel="00000000" w:rsidR="00000000" w:rsidRPr="00000000">
              <w:rPr>
                <w:i w:val="1"/>
                <w:sz w:val="25"/>
                <w:szCs w:val="25"/>
                <w:rtl w:val="0"/>
              </w:rPr>
              <w:t xml:space="preserve">(ngày 24 và 26/11/2024)</w:t>
            </w: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F">
            <w:pPr>
              <w:jc w:val="both"/>
              <w:rPr>
                <w:sz w:val="25"/>
                <w:szCs w:val="25"/>
              </w:rPr>
            </w:pPr>
            <w:r w:rsidDel="00000000" w:rsidR="00000000" w:rsidRPr="00000000">
              <w:rPr>
                <w:sz w:val="25"/>
                <w:szCs w:val="25"/>
                <w:rtl w:val="0"/>
              </w:rPr>
              <w:t xml:space="preserve">Đại diện Hội đồng GDQP&amp;AN TP.HCM, Hội đồng GDQP&amp;AN TP.Thủ Đức, Trung tâm Chính trị TP.Thủ Đức, Đảng ủy, Ban Giám hiệu, Toàn thể Học viên thuộc đối tượng 4 </w:t>
            </w:r>
            <w:r w:rsidDel="00000000" w:rsidR="00000000" w:rsidRPr="00000000">
              <w:rPr>
                <w:i w:val="1"/>
                <w:sz w:val="25"/>
                <w:szCs w:val="25"/>
                <w:rtl w:val="0"/>
              </w:rPr>
              <w:t xml:space="preserve">(Theo Thông báo số 4769/TB-ĐHNL-TCCB ngày 07/11/2024)</w:t>
            </w:r>
            <w:r w:rsidDel="00000000" w:rsidR="00000000" w:rsidRPr="00000000">
              <w:rPr>
                <w:rtl w:val="0"/>
              </w:rPr>
            </w:r>
          </w:p>
        </w:tc>
        <w:tc>
          <w:tcPr>
            <w:shd w:fill="auto" w:val="clear"/>
            <w:vAlign w:val="center"/>
          </w:tcPr>
          <w:p w:rsidR="00000000" w:rsidDel="00000000" w:rsidP="00000000" w:rsidRDefault="00000000" w:rsidRPr="00000000" w14:paraId="00000050">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51">
            <w:pPr>
              <w:jc w:val="center"/>
              <w:rPr>
                <w:sz w:val="25"/>
                <w:szCs w:val="25"/>
              </w:rPr>
            </w:pPr>
            <w:r w:rsidDel="00000000" w:rsidR="00000000" w:rsidRPr="00000000">
              <w:rPr>
                <w:sz w:val="25"/>
                <w:szCs w:val="25"/>
                <w:rtl w:val="0"/>
              </w:rPr>
              <w:t xml:space="preserve">Hội trường Phượng Vỹ</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4">
            <w:pPr>
              <w:jc w:val="center"/>
              <w:rPr>
                <w:sz w:val="25"/>
                <w:szCs w:val="25"/>
              </w:rPr>
            </w:pPr>
            <w:r w:rsidDel="00000000" w:rsidR="00000000" w:rsidRPr="00000000">
              <w:rPr>
                <w:sz w:val="25"/>
                <w:szCs w:val="25"/>
                <w:rtl w:val="0"/>
              </w:rPr>
              <w:t xml:space="preserve">08g00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55">
            <w:pPr>
              <w:jc w:val="both"/>
              <w:rPr>
                <w:sz w:val="25"/>
                <w:szCs w:val="25"/>
              </w:rPr>
            </w:pPr>
            <w:r w:rsidDel="00000000" w:rsidR="00000000" w:rsidRPr="00000000">
              <w:rPr>
                <w:sz w:val="25"/>
                <w:szCs w:val="25"/>
                <w:rtl w:val="0"/>
              </w:rPr>
              <w:t xml:space="preserve">Hội nghị kiểm điểm, đánh giá, xếp loại tập thể, cá nhân năm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56">
            <w:pPr>
              <w:jc w:val="both"/>
              <w:rPr>
                <w:sz w:val="25"/>
                <w:szCs w:val="25"/>
              </w:rPr>
            </w:pPr>
            <w:r w:rsidDel="00000000" w:rsidR="00000000" w:rsidRPr="00000000">
              <w:rPr>
                <w:sz w:val="25"/>
                <w:szCs w:val="25"/>
                <w:rtl w:val="0"/>
              </w:rPr>
              <w:t xml:space="preserve">Tổ công tác Đảng ủy Khối, Ban Chấp hành Đảng bộ trường</w:t>
            </w:r>
          </w:p>
        </w:tc>
        <w:tc>
          <w:tcPr>
            <w:shd w:fill="auto" w:val="clear"/>
            <w:vAlign w:val="center"/>
          </w:tcPr>
          <w:p w:rsidR="00000000" w:rsidDel="00000000" w:rsidP="00000000" w:rsidRDefault="00000000" w:rsidRPr="00000000" w14:paraId="00000057">
            <w:pPr>
              <w:jc w:val="center"/>
              <w:rPr>
                <w:sz w:val="25"/>
                <w:szCs w:val="25"/>
              </w:rPr>
            </w:pPr>
            <w:r w:rsidDel="00000000" w:rsidR="00000000" w:rsidRPr="00000000">
              <w:rPr>
                <w:sz w:val="25"/>
                <w:szCs w:val="25"/>
                <w:rtl w:val="0"/>
              </w:rPr>
              <w:t xml:space="preserve">BN.Hùng</w:t>
            </w:r>
          </w:p>
        </w:tc>
        <w:tc>
          <w:tcPr>
            <w:shd w:fill="auto" w:val="clear"/>
            <w:vAlign w:val="center"/>
          </w:tcPr>
          <w:p w:rsidR="00000000" w:rsidDel="00000000" w:rsidP="00000000" w:rsidRDefault="00000000" w:rsidRPr="00000000" w14:paraId="00000058">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B">
            <w:pPr>
              <w:jc w:val="center"/>
              <w:rPr>
                <w:sz w:val="25"/>
                <w:szCs w:val="25"/>
              </w:rPr>
            </w:pPr>
            <w:r w:rsidDel="00000000" w:rsidR="00000000" w:rsidRPr="00000000">
              <w:rPr>
                <w:sz w:val="25"/>
                <w:szCs w:val="25"/>
                <w:rtl w:val="0"/>
              </w:rPr>
              <w:t xml:space="preserve">08g30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5C">
            <w:pPr>
              <w:jc w:val="both"/>
              <w:rPr>
                <w:sz w:val="25"/>
                <w:szCs w:val="25"/>
              </w:rPr>
            </w:pPr>
            <w:r w:rsidDel="00000000" w:rsidR="00000000" w:rsidRPr="00000000">
              <w:rPr>
                <w:sz w:val="25"/>
                <w:szCs w:val="25"/>
                <w:rtl w:val="0"/>
              </w:rPr>
              <w:t xml:space="preserve">Tổng rà soát công tác chuẩn bị SAE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5D">
            <w:pPr>
              <w:jc w:val="both"/>
              <w:rPr>
                <w:sz w:val="25"/>
                <w:szCs w:val="25"/>
              </w:rPr>
            </w:pPr>
            <w:r w:rsidDel="00000000" w:rsidR="00000000" w:rsidRPr="00000000">
              <w:rPr>
                <w:sz w:val="25"/>
                <w:szCs w:val="25"/>
                <w:rtl w:val="0"/>
              </w:rPr>
              <w:t xml:space="preserve">PT.Huân, ĐĐTuyên, Ban Tổ chức, Ban Hậu cần</w:t>
            </w:r>
          </w:p>
        </w:tc>
        <w:tc>
          <w:tcPr>
            <w:shd w:fill="auto" w:val="clear"/>
            <w:vAlign w:val="center"/>
          </w:tcPr>
          <w:p w:rsidR="00000000" w:rsidDel="00000000" w:rsidP="00000000" w:rsidRDefault="00000000" w:rsidRPr="00000000" w14:paraId="0000005E">
            <w:pPr>
              <w:jc w:val="center"/>
              <w:rPr>
                <w:sz w:val="25"/>
                <w:szCs w:val="25"/>
              </w:rPr>
            </w:pPr>
            <w:r w:rsidDel="00000000" w:rsidR="00000000" w:rsidRPr="00000000">
              <w:rPr>
                <w:sz w:val="25"/>
                <w:szCs w:val="25"/>
                <w:rtl w:val="0"/>
              </w:rPr>
              <w:t xml:space="preserve">PT.Huân</w:t>
            </w:r>
          </w:p>
        </w:tc>
        <w:tc>
          <w:tcPr>
            <w:shd w:fill="auto" w:val="clear"/>
            <w:vAlign w:val="center"/>
          </w:tcPr>
          <w:p w:rsidR="00000000" w:rsidDel="00000000" w:rsidP="00000000" w:rsidRDefault="00000000" w:rsidRPr="00000000" w14:paraId="0000005F">
            <w:pPr>
              <w:jc w:val="center"/>
              <w:rPr>
                <w:sz w:val="25"/>
                <w:szCs w:val="25"/>
              </w:rPr>
            </w:pPr>
            <w:r w:rsidDel="00000000" w:rsidR="00000000" w:rsidRPr="00000000">
              <w:rPr>
                <w:sz w:val="25"/>
                <w:szCs w:val="25"/>
                <w:rtl w:val="0"/>
              </w:rPr>
              <w:t xml:space="preserve">P205</w:t>
            </w:r>
          </w:p>
        </w:tc>
      </w:tr>
      <w:tr>
        <w:trPr>
          <w:cantSplit w:val="0"/>
          <w:trHeight w:val="457" w:hRule="atLeast"/>
          <w:tblHeader w:val="0"/>
        </w:trPr>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60">
            <w:pPr>
              <w:jc w:val="center"/>
              <w:rPr>
                <w:b w:val="1"/>
                <w:sz w:val="25"/>
                <w:szCs w:val="25"/>
              </w:rPr>
            </w:pPr>
            <w:r w:rsidDel="00000000" w:rsidR="00000000" w:rsidRPr="00000000">
              <w:rPr>
                <w:b w:val="1"/>
                <w:sz w:val="25"/>
                <w:szCs w:val="25"/>
                <w:rtl w:val="0"/>
              </w:rPr>
              <w:t xml:space="preserve">Sáu</w:t>
            </w:r>
          </w:p>
        </w:tc>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61">
            <w:pPr>
              <w:jc w:val="center"/>
              <w:rPr>
                <w:b w:val="1"/>
                <w:i w:val="1"/>
                <w:sz w:val="25"/>
                <w:szCs w:val="25"/>
              </w:rPr>
            </w:pPr>
            <w:r w:rsidDel="00000000" w:rsidR="00000000" w:rsidRPr="00000000">
              <w:rPr>
                <w:b w:val="1"/>
                <w:i w:val="1"/>
                <w:sz w:val="25"/>
                <w:szCs w:val="25"/>
                <w:rtl w:val="0"/>
              </w:rPr>
              <w:t xml:space="preserve">22</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2">
            <w:pPr>
              <w:jc w:val="center"/>
              <w:rPr>
                <w:sz w:val="25"/>
                <w:szCs w:val="25"/>
              </w:rPr>
            </w:pPr>
            <w:r w:rsidDel="00000000" w:rsidR="00000000" w:rsidRPr="00000000">
              <w:rPr>
                <w:sz w:val="25"/>
                <w:szCs w:val="25"/>
                <w:rtl w:val="0"/>
              </w:rPr>
              <w:t xml:space="preserve">07g30 – 10g00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3">
            <w:pPr>
              <w:jc w:val="both"/>
              <w:rPr>
                <w:sz w:val="25"/>
                <w:szCs w:val="25"/>
              </w:rPr>
            </w:pPr>
            <w:r w:rsidDel="00000000" w:rsidR="00000000" w:rsidRPr="00000000">
              <w:rPr>
                <w:sz w:val="25"/>
                <w:szCs w:val="25"/>
                <w:rtl w:val="0"/>
              </w:rPr>
              <w:t xml:space="preserve">Giải chạy bộ Hội thao Công đoàn chào mừng ngày Nhà giáo Việt Nam 20/11</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4">
            <w:pPr>
              <w:jc w:val="both"/>
              <w:rPr>
                <w:sz w:val="25"/>
                <w:szCs w:val="25"/>
              </w:rPr>
            </w:pPr>
            <w:r w:rsidDel="00000000" w:rsidR="00000000" w:rsidRPr="00000000">
              <w:rPr>
                <w:sz w:val="25"/>
                <w:szCs w:val="25"/>
                <w:rtl w:val="0"/>
              </w:rPr>
              <w:t xml:space="preserve">Đại diện Ban Giám hiệu, Ban Chấp hành Công đoàn trường, Ban Chấp hành công đoàn bộ phận, Công đoàn viên, Viên chức, Người lao động, Thư mời</w:t>
            </w:r>
          </w:p>
        </w:tc>
        <w:tc>
          <w:tcPr>
            <w:shd w:fill="eeece1" w:val="clear"/>
            <w:vAlign w:val="center"/>
          </w:tcPr>
          <w:p w:rsidR="00000000" w:rsidDel="00000000" w:rsidP="00000000" w:rsidRDefault="00000000" w:rsidRPr="00000000" w14:paraId="00000065">
            <w:pPr>
              <w:jc w:val="center"/>
              <w:rPr>
                <w:sz w:val="25"/>
                <w:szCs w:val="25"/>
              </w:rPr>
            </w:pPr>
            <w:r w:rsidDel="00000000" w:rsidR="00000000" w:rsidRPr="00000000">
              <w:rPr>
                <w:sz w:val="25"/>
                <w:szCs w:val="25"/>
                <w:rtl w:val="0"/>
              </w:rPr>
              <w:t xml:space="preserve">HTMHương</w:t>
            </w:r>
          </w:p>
        </w:tc>
        <w:tc>
          <w:tcPr>
            <w:shd w:fill="eeece1" w:val="clear"/>
            <w:vAlign w:val="center"/>
          </w:tcPr>
          <w:p w:rsidR="00000000" w:rsidDel="00000000" w:rsidP="00000000" w:rsidRDefault="00000000" w:rsidRPr="00000000" w14:paraId="00000066">
            <w:pPr>
              <w:jc w:val="center"/>
              <w:rPr>
                <w:sz w:val="25"/>
                <w:szCs w:val="25"/>
              </w:rPr>
            </w:pPr>
            <w:r w:rsidDel="00000000" w:rsidR="00000000" w:rsidRPr="00000000">
              <w:rPr>
                <w:sz w:val="25"/>
                <w:szCs w:val="25"/>
                <w:rtl w:val="0"/>
              </w:rPr>
              <w:t xml:space="preserve">Sân Phượng Vỹ</w:t>
            </w:r>
          </w:p>
        </w:tc>
      </w:tr>
      <w:tr>
        <w:trPr>
          <w:cantSplit w:val="0"/>
          <w:trHeight w:val="457"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69">
            <w:pPr>
              <w:jc w:val="center"/>
              <w:rPr>
                <w:sz w:val="25"/>
                <w:szCs w:val="25"/>
              </w:rPr>
            </w:pPr>
            <w:r w:rsidDel="00000000" w:rsidR="00000000" w:rsidRPr="00000000">
              <w:rPr>
                <w:sz w:val="25"/>
                <w:szCs w:val="25"/>
                <w:rtl w:val="0"/>
              </w:rPr>
              <w:t xml:space="preserve">13g30 – 15g00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A">
            <w:pPr>
              <w:jc w:val="both"/>
              <w:rPr>
                <w:sz w:val="25"/>
                <w:szCs w:val="25"/>
              </w:rPr>
            </w:pPr>
            <w:r w:rsidDel="00000000" w:rsidR="00000000" w:rsidRPr="00000000">
              <w:rPr>
                <w:sz w:val="25"/>
                <w:szCs w:val="25"/>
                <w:rtl w:val="0"/>
              </w:rPr>
              <w:t xml:space="preserve">Họp công tác trù bị Hội nghị Đại biểu Viên chức - Người lao động năm học 2024 - 2025</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B">
            <w:pPr>
              <w:jc w:val="both"/>
              <w:rPr>
                <w:i w:val="1"/>
                <w:sz w:val="25"/>
                <w:szCs w:val="25"/>
              </w:rPr>
            </w:pPr>
            <w:r w:rsidDel="00000000" w:rsidR="00000000" w:rsidRPr="00000000">
              <w:rPr>
                <w:sz w:val="25"/>
                <w:szCs w:val="25"/>
                <w:rtl w:val="0"/>
              </w:rPr>
              <w:t xml:space="preserve">Ban Thường trực Hội nghị </w:t>
            </w:r>
            <w:r w:rsidDel="00000000" w:rsidR="00000000" w:rsidRPr="00000000">
              <w:rPr>
                <w:i w:val="1"/>
                <w:sz w:val="25"/>
                <w:szCs w:val="25"/>
                <w:rtl w:val="0"/>
              </w:rPr>
              <w:t xml:space="preserve">(Theo Quyết định số 4379/QĐ-ĐHNL-TCCB ngày 17/10/2024)</w:t>
            </w:r>
          </w:p>
        </w:tc>
        <w:tc>
          <w:tcPr>
            <w:shd w:fill="eeece1" w:val="clear"/>
            <w:vAlign w:val="center"/>
          </w:tcPr>
          <w:p w:rsidR="00000000" w:rsidDel="00000000" w:rsidP="00000000" w:rsidRDefault="00000000" w:rsidRPr="00000000" w14:paraId="0000006C">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6D">
            <w:pPr>
              <w:jc w:val="center"/>
              <w:rPr>
                <w:sz w:val="25"/>
                <w:szCs w:val="25"/>
              </w:rPr>
            </w:pPr>
            <w:r w:rsidDel="00000000" w:rsidR="00000000" w:rsidRPr="00000000">
              <w:rPr>
                <w:sz w:val="25"/>
                <w:szCs w:val="25"/>
                <w:rtl w:val="0"/>
              </w:rPr>
              <w:t xml:space="preserve">P103</w:t>
            </w:r>
          </w:p>
        </w:tc>
      </w:tr>
      <w:tr>
        <w:trPr>
          <w:cantSplit w:val="0"/>
          <w:trHeight w:val="457"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70">
            <w:pPr>
              <w:jc w:val="center"/>
              <w:rPr>
                <w:sz w:val="25"/>
                <w:szCs w:val="25"/>
              </w:rPr>
            </w:pPr>
            <w:r w:rsidDel="00000000" w:rsidR="00000000" w:rsidRPr="00000000">
              <w:rPr>
                <w:sz w:val="25"/>
                <w:szCs w:val="25"/>
                <w:rtl w:val="0"/>
              </w:rPr>
              <w:t xml:space="preserve">15g00 – 16g30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71">
            <w:pPr>
              <w:jc w:val="both"/>
              <w:rPr>
                <w:sz w:val="25"/>
                <w:szCs w:val="25"/>
              </w:rPr>
            </w:pPr>
            <w:r w:rsidDel="00000000" w:rsidR="00000000" w:rsidRPr="00000000">
              <w:rPr>
                <w:sz w:val="25"/>
                <w:szCs w:val="25"/>
                <w:rtl w:val="0"/>
              </w:rPr>
              <w:t xml:space="preserve">Họp Ban Vì sự tiến bộ phụ nữ</w:t>
            </w:r>
          </w:p>
        </w:tc>
        <w:tc>
          <w:tcPr>
            <w:shd w:fill="eeece1" w:val="clear"/>
            <w:tcMar>
              <w:top w:w="0.0" w:type="dxa"/>
              <w:left w:w="108.0" w:type="dxa"/>
              <w:bottom w:w="0.0" w:type="dxa"/>
              <w:right w:w="108.0" w:type="dxa"/>
            </w:tcMar>
            <w:vAlign w:val="center"/>
          </w:tcPr>
          <w:p w:rsidR="00000000" w:rsidDel="00000000" w:rsidP="00000000" w:rsidRDefault="00000000" w:rsidRPr="00000000" w14:paraId="00000072">
            <w:pPr>
              <w:jc w:val="both"/>
              <w:rPr>
                <w:i w:val="1"/>
                <w:sz w:val="25"/>
                <w:szCs w:val="25"/>
              </w:rPr>
            </w:pPr>
            <w:r w:rsidDel="00000000" w:rsidR="00000000" w:rsidRPr="00000000">
              <w:rPr>
                <w:sz w:val="25"/>
                <w:szCs w:val="25"/>
                <w:rtl w:val="0"/>
              </w:rPr>
              <w:t xml:space="preserve">NTToàn, HTMHương, TĐLý, HN.Anh, NVMinh, NVNăm, NP.Hòa, TTLMinh, MHCang, PTDung </w:t>
            </w:r>
            <w:r w:rsidDel="00000000" w:rsidR="00000000" w:rsidRPr="00000000">
              <w:rPr>
                <w:i w:val="1"/>
                <w:sz w:val="25"/>
                <w:szCs w:val="25"/>
                <w:rtl w:val="0"/>
              </w:rPr>
              <w:t xml:space="preserve">(Theo Quyết định số 4397/QĐ-ĐHNL-TCCB ngày 17/11/2023)</w:t>
            </w:r>
          </w:p>
        </w:tc>
        <w:tc>
          <w:tcPr>
            <w:shd w:fill="eeece1" w:val="clear"/>
            <w:vAlign w:val="center"/>
          </w:tcPr>
          <w:p w:rsidR="00000000" w:rsidDel="00000000" w:rsidP="00000000" w:rsidRDefault="00000000" w:rsidRPr="00000000" w14:paraId="00000073">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74">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5">
            <w:pPr>
              <w:jc w:val="center"/>
              <w:rPr>
                <w:b w:val="1"/>
                <w:sz w:val="25"/>
                <w:szCs w:val="25"/>
              </w:rPr>
            </w:pPr>
            <w:r w:rsidDel="00000000" w:rsidR="00000000" w:rsidRPr="00000000">
              <w:rPr>
                <w:b w:val="1"/>
                <w:sz w:val="25"/>
                <w:szCs w:val="25"/>
                <w:rtl w:val="0"/>
              </w:rPr>
              <w:t xml:space="preserve">Bảy</w:t>
            </w:r>
          </w:p>
        </w:tc>
        <w:tc>
          <w:tcPr>
            <w:shd w:fill="auto" w:val="clear"/>
            <w:tcMar>
              <w:top w:w="0.0" w:type="dxa"/>
              <w:left w:w="108.0" w:type="dxa"/>
              <w:bottom w:w="0.0" w:type="dxa"/>
              <w:right w:w="108.0" w:type="dxa"/>
            </w:tcMar>
            <w:vAlign w:val="center"/>
          </w:tcPr>
          <w:p w:rsidR="00000000" w:rsidDel="00000000" w:rsidP="00000000" w:rsidRDefault="00000000" w:rsidRPr="00000000" w14:paraId="00000076">
            <w:pPr>
              <w:jc w:val="center"/>
              <w:rPr>
                <w:b w:val="1"/>
                <w:i w:val="1"/>
                <w:sz w:val="25"/>
                <w:szCs w:val="25"/>
              </w:rPr>
            </w:pPr>
            <w:r w:rsidDel="00000000" w:rsidR="00000000" w:rsidRPr="00000000">
              <w:rPr>
                <w:b w:val="1"/>
                <w:i w:val="1"/>
                <w:sz w:val="25"/>
                <w:szCs w:val="25"/>
                <w:rtl w:val="0"/>
              </w:rPr>
              <w:t xml:space="preserve">23</w:t>
            </w:r>
          </w:p>
        </w:tc>
        <w:tc>
          <w:tcPr>
            <w:shd w:fill="auto" w:val="clear"/>
            <w:tcMar>
              <w:top w:w="0.0" w:type="dxa"/>
              <w:left w:w="108.0" w:type="dxa"/>
              <w:bottom w:w="0.0" w:type="dxa"/>
              <w:right w:w="108.0" w:type="dxa"/>
            </w:tcMar>
            <w:vAlign w:val="center"/>
          </w:tcPr>
          <w:p w:rsidR="00000000" w:rsidDel="00000000" w:rsidP="00000000" w:rsidRDefault="00000000" w:rsidRPr="00000000" w14:paraId="00000077">
            <w:pPr>
              <w:jc w:val="center"/>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8">
            <w:pPr>
              <w:jc w:val="both"/>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9">
            <w:pPr>
              <w:jc w:val="both"/>
              <w:rPr>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07A">
            <w:pPr>
              <w:jc w:val="center"/>
              <w:rPr>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07B">
            <w:pPr>
              <w:jc w:val="center"/>
              <w:rPr>
                <w:sz w:val="25"/>
                <w:szCs w:val="25"/>
              </w:rPr>
            </w:pPr>
            <w:r w:rsidDel="00000000" w:rsidR="00000000" w:rsidRPr="00000000">
              <w:rPr>
                <w:rtl w:val="0"/>
              </w:rPr>
            </w:r>
          </w:p>
        </w:tc>
      </w:tr>
      <w:tr>
        <w:trPr>
          <w:cantSplit w:val="0"/>
          <w:trHeight w:val="410" w:hRule="atLeast"/>
          <w:tblHeader w:val="0"/>
        </w:trPr>
        <w:tc>
          <w:tcPr>
            <w:shd w:fill="eeece1" w:val="clear"/>
            <w:tcMar>
              <w:top w:w="0.0" w:type="dxa"/>
              <w:left w:w="108.0" w:type="dxa"/>
              <w:bottom w:w="0.0" w:type="dxa"/>
              <w:right w:w="108.0" w:type="dxa"/>
            </w:tcMar>
            <w:vAlign w:val="center"/>
          </w:tcPr>
          <w:p w:rsidR="00000000" w:rsidDel="00000000" w:rsidP="00000000" w:rsidRDefault="00000000" w:rsidRPr="00000000" w14:paraId="0000007C">
            <w:pPr>
              <w:jc w:val="center"/>
              <w:rPr>
                <w:sz w:val="25"/>
                <w:szCs w:val="25"/>
              </w:rPr>
            </w:pPr>
            <w:r w:rsidDel="00000000" w:rsidR="00000000" w:rsidRPr="00000000">
              <w:rPr>
                <w:b w:val="1"/>
                <w:sz w:val="25"/>
                <w:szCs w:val="25"/>
                <w:rtl w:val="0"/>
              </w:rPr>
              <w:t xml:space="preserve">CN</w:t>
            </w: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7D">
            <w:pPr>
              <w:jc w:val="center"/>
              <w:rPr>
                <w:b w:val="1"/>
                <w:i w:val="1"/>
                <w:sz w:val="25"/>
                <w:szCs w:val="25"/>
              </w:rPr>
            </w:pPr>
            <w:r w:rsidDel="00000000" w:rsidR="00000000" w:rsidRPr="00000000">
              <w:rPr>
                <w:b w:val="1"/>
                <w:i w:val="1"/>
                <w:sz w:val="25"/>
                <w:szCs w:val="25"/>
                <w:rtl w:val="0"/>
              </w:rPr>
              <w:t xml:space="preserve">24</w:t>
            </w:r>
          </w:p>
        </w:tc>
        <w:tc>
          <w:tcPr>
            <w:shd w:fill="eeece1" w:val="clear"/>
            <w:tcMar>
              <w:top w:w="0.0" w:type="dxa"/>
              <w:left w:w="108.0" w:type="dxa"/>
              <w:bottom w:w="0.0" w:type="dxa"/>
              <w:right w:w="108.0" w:type="dxa"/>
            </w:tcMar>
            <w:vAlign w:val="center"/>
          </w:tcPr>
          <w:p w:rsidR="00000000" w:rsidDel="00000000" w:rsidP="00000000" w:rsidRDefault="00000000" w:rsidRPr="00000000" w14:paraId="0000007E">
            <w:pPr>
              <w:jc w:val="center"/>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7F">
            <w:pPr>
              <w:jc w:val="both"/>
              <w:rPr>
                <w:i w:val="1"/>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80">
            <w:pPr>
              <w:jc w:val="both"/>
              <w:rPr>
                <w:sz w:val="25"/>
                <w:szCs w:val="25"/>
              </w:rPr>
            </w:pPr>
            <w:r w:rsidDel="00000000" w:rsidR="00000000" w:rsidRPr="00000000">
              <w:rPr>
                <w:rtl w:val="0"/>
              </w:rPr>
            </w:r>
          </w:p>
        </w:tc>
        <w:tc>
          <w:tcPr>
            <w:shd w:fill="eeece1" w:val="clear"/>
            <w:vAlign w:val="center"/>
          </w:tcPr>
          <w:p w:rsidR="00000000" w:rsidDel="00000000" w:rsidP="00000000" w:rsidRDefault="00000000" w:rsidRPr="00000000" w14:paraId="00000081">
            <w:pPr>
              <w:jc w:val="center"/>
              <w:rPr>
                <w:sz w:val="25"/>
                <w:szCs w:val="25"/>
              </w:rPr>
            </w:pPr>
            <w:r w:rsidDel="00000000" w:rsidR="00000000" w:rsidRPr="00000000">
              <w:rPr>
                <w:rtl w:val="0"/>
              </w:rPr>
            </w:r>
          </w:p>
        </w:tc>
        <w:tc>
          <w:tcPr>
            <w:shd w:fill="eeece1" w:val="clear"/>
            <w:vAlign w:val="center"/>
          </w:tcPr>
          <w:p w:rsidR="00000000" w:rsidDel="00000000" w:rsidP="00000000" w:rsidRDefault="00000000" w:rsidRPr="00000000" w14:paraId="00000082">
            <w:pPr>
              <w:jc w:val="center"/>
              <w:rPr>
                <w:sz w:val="25"/>
                <w:szCs w:val="25"/>
              </w:rPr>
            </w:pPr>
            <w:r w:rsidDel="00000000" w:rsidR="00000000" w:rsidRPr="00000000">
              <w:rPr>
                <w:rtl w:val="0"/>
              </w:rPr>
            </w:r>
          </w:p>
        </w:tc>
      </w:tr>
    </w:tbl>
    <w:p w:rsidR="00000000" w:rsidDel="00000000" w:rsidP="00000000" w:rsidRDefault="00000000" w:rsidRPr="00000000" w14:paraId="00000083">
      <w:pPr>
        <w:rPr>
          <w:sz w:val="25"/>
          <w:szCs w:val="25"/>
        </w:rPr>
      </w:pPr>
      <w:r w:rsidDel="00000000" w:rsidR="00000000" w:rsidRPr="00000000">
        <w:rPr>
          <w:rtl w:val="0"/>
        </w:rPr>
      </w:r>
    </w:p>
    <w:p w:rsidR="00000000" w:rsidDel="00000000" w:rsidP="00000000" w:rsidRDefault="00000000" w:rsidRPr="00000000" w14:paraId="00000084">
      <w:pPr>
        <w:spacing w:before="120" w:lineRule="auto"/>
        <w:jc w:val="both"/>
        <w:rPr>
          <w:sz w:val="25"/>
          <w:szCs w:val="25"/>
        </w:rPr>
      </w:pPr>
      <w:r w:rsidDel="00000000" w:rsidR="00000000" w:rsidRPr="00000000">
        <w:rPr>
          <w:b w:val="1"/>
          <w:i w:val="1"/>
          <w:sz w:val="25"/>
          <w:szCs w:val="25"/>
          <w:rtl w:val="0"/>
        </w:rPr>
        <w:t xml:space="preserve">Ghi chú:</w:t>
      </w:r>
      <w:r w:rsidDel="00000000" w:rsidR="00000000" w:rsidRPr="00000000">
        <w:rPr>
          <w:i w:val="1"/>
          <w:sz w:val="25"/>
          <w:szCs w:val="25"/>
          <w:rtl w:val="0"/>
        </w:rPr>
        <w:t xml:space="preserve"> Lịch công tác thay giấy mời. Kính đề nghị các đơn vị, cá nhân liên quan lưu ý tham dự đầy đủ và đúng giờ.</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1907" w:w="16840" w:orient="landscape"/>
      <w:pgMar w:bottom="54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right" w:leader="none" w:pos="14760"/>
      </w:tabs>
      <w:rPr>
        <w:color w:val="000000"/>
        <w:sz w:val="25"/>
        <w:szCs w:val="25"/>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right" w:leader="none" w:pos="14760"/>
      </w:tabs>
      <w:rPr>
        <w:color w:val="000000"/>
        <w:sz w:val="25"/>
        <w:szCs w:val="25"/>
      </w:rPr>
    </w:pPr>
    <w:bookmarkStart w:colFirst="0" w:colLast="0" w:name="_gjdgxs" w:id="0"/>
    <w:bookmarkEnd w:id="0"/>
    <w:r w:rsidDel="00000000" w:rsidR="00000000" w:rsidRPr="00000000">
      <w:rPr>
        <w:color w:val="000000"/>
        <w:sz w:val="25"/>
        <w:szCs w:val="25"/>
        <w:rtl w:val="0"/>
      </w:rPr>
      <w:t xml:space="preserve">Số: 47/2024/HC</w:t>
      <w:tab/>
      <w:t xml:space="preserve">2:00 PM Saturday, November 16, 2024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